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5B4455" w14:textId="77777777" w:rsidR="00FD568F" w:rsidRPr="00FD568F" w:rsidRDefault="00FD568F" w:rsidP="00FD568F">
      <w:pPr>
        <w:spacing w:line="480" w:lineRule="auto"/>
        <w:jc w:val="center"/>
        <w:rPr>
          <w:rFonts w:ascii="Times New Roman" w:hAnsi="Times New Roman" w:cs="Times New Roman"/>
          <w:b/>
          <w:bCs/>
          <w:sz w:val="24"/>
          <w:szCs w:val="24"/>
          <w:lang w:val="en-US"/>
        </w:rPr>
      </w:pPr>
    </w:p>
    <w:p w14:paraId="51A4552B" w14:textId="77777777" w:rsidR="00FD568F" w:rsidRPr="00FD568F" w:rsidRDefault="00FD568F" w:rsidP="00FD568F">
      <w:pPr>
        <w:spacing w:line="480" w:lineRule="auto"/>
        <w:jc w:val="center"/>
        <w:rPr>
          <w:rFonts w:ascii="Times New Roman" w:hAnsi="Times New Roman" w:cs="Times New Roman"/>
          <w:b/>
          <w:bCs/>
          <w:sz w:val="24"/>
          <w:szCs w:val="24"/>
          <w:lang w:val="en-US"/>
        </w:rPr>
      </w:pPr>
    </w:p>
    <w:p w14:paraId="3949BCE5" w14:textId="265979DA" w:rsidR="00B61383" w:rsidRPr="00B61383" w:rsidRDefault="00B61383" w:rsidP="00FD568F">
      <w:pPr>
        <w:spacing w:line="480" w:lineRule="auto"/>
        <w:jc w:val="center"/>
        <w:rPr>
          <w:rFonts w:ascii="Times New Roman" w:hAnsi="Times New Roman" w:cs="Times New Roman"/>
          <w:sz w:val="24"/>
          <w:szCs w:val="24"/>
          <w:lang w:val="en-US"/>
        </w:rPr>
      </w:pPr>
      <w:r w:rsidRPr="00B61383">
        <w:rPr>
          <w:rFonts w:ascii="Times New Roman" w:hAnsi="Times New Roman" w:cs="Times New Roman"/>
          <w:b/>
          <w:bCs/>
          <w:sz w:val="24"/>
          <w:szCs w:val="24"/>
          <w:lang w:val="en-US"/>
        </w:rPr>
        <w:t>Evaluation of Tests of General Cognitive Ability</w:t>
      </w:r>
    </w:p>
    <w:p w14:paraId="2C88589E" w14:textId="77777777" w:rsidR="0008099B" w:rsidRDefault="0008099B" w:rsidP="00FD568F">
      <w:pPr>
        <w:spacing w:line="480" w:lineRule="auto"/>
        <w:jc w:val="center"/>
        <w:rPr>
          <w:rFonts w:ascii="Times New Roman" w:hAnsi="Times New Roman" w:cs="Times New Roman"/>
          <w:sz w:val="24"/>
          <w:szCs w:val="24"/>
          <w:lang w:val="en-US"/>
        </w:rPr>
      </w:pPr>
    </w:p>
    <w:p w14:paraId="268A90F6" w14:textId="77777777" w:rsidR="0008099B" w:rsidRDefault="0008099B" w:rsidP="00FD568F">
      <w:pPr>
        <w:spacing w:line="480" w:lineRule="auto"/>
        <w:jc w:val="center"/>
        <w:rPr>
          <w:rFonts w:ascii="Times New Roman" w:hAnsi="Times New Roman" w:cs="Times New Roman"/>
          <w:sz w:val="24"/>
          <w:szCs w:val="24"/>
          <w:lang w:val="en-US"/>
        </w:rPr>
      </w:pPr>
    </w:p>
    <w:p w14:paraId="5CE07F0C" w14:textId="05BC5EB9" w:rsidR="00B61383" w:rsidRPr="00B61383" w:rsidRDefault="00B61383" w:rsidP="00FD568F">
      <w:pPr>
        <w:spacing w:line="480" w:lineRule="auto"/>
        <w:jc w:val="center"/>
        <w:rPr>
          <w:rFonts w:ascii="Times New Roman" w:hAnsi="Times New Roman" w:cs="Times New Roman"/>
          <w:sz w:val="24"/>
          <w:szCs w:val="24"/>
          <w:lang w:val="en-US"/>
        </w:rPr>
      </w:pPr>
      <w:r w:rsidRPr="00B61383">
        <w:rPr>
          <w:rFonts w:ascii="Times New Roman" w:hAnsi="Times New Roman" w:cs="Times New Roman"/>
          <w:sz w:val="24"/>
          <w:szCs w:val="24"/>
          <w:lang w:val="en-US"/>
        </w:rPr>
        <w:t>Student’s Name</w:t>
      </w:r>
    </w:p>
    <w:p w14:paraId="2B76D1BE" w14:textId="77777777" w:rsidR="00B61383" w:rsidRPr="00B61383" w:rsidRDefault="00B61383" w:rsidP="00FD568F">
      <w:pPr>
        <w:spacing w:line="480" w:lineRule="auto"/>
        <w:jc w:val="center"/>
        <w:rPr>
          <w:rFonts w:ascii="Times New Roman" w:hAnsi="Times New Roman" w:cs="Times New Roman"/>
          <w:sz w:val="24"/>
          <w:szCs w:val="24"/>
          <w:lang w:val="en-US"/>
        </w:rPr>
      </w:pPr>
      <w:r w:rsidRPr="00B61383">
        <w:rPr>
          <w:rFonts w:ascii="Times New Roman" w:hAnsi="Times New Roman" w:cs="Times New Roman"/>
          <w:sz w:val="24"/>
          <w:szCs w:val="24"/>
          <w:lang w:val="en-US"/>
        </w:rPr>
        <w:t>Institutional Affiliations</w:t>
      </w:r>
    </w:p>
    <w:p w14:paraId="27DC9C5B" w14:textId="77777777" w:rsidR="0008099B" w:rsidRDefault="0008099B" w:rsidP="00FD568F">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08592C76" w14:textId="5A2A67CA" w:rsidR="00B61383" w:rsidRPr="00B61383" w:rsidRDefault="00B61383" w:rsidP="00FD568F">
      <w:pPr>
        <w:spacing w:line="480" w:lineRule="auto"/>
        <w:jc w:val="center"/>
        <w:rPr>
          <w:rFonts w:ascii="Times New Roman" w:hAnsi="Times New Roman" w:cs="Times New Roman"/>
          <w:b/>
          <w:sz w:val="24"/>
          <w:szCs w:val="24"/>
          <w:lang w:val="en-US"/>
        </w:rPr>
      </w:pPr>
      <w:r w:rsidRPr="00B61383">
        <w:rPr>
          <w:rFonts w:ascii="Times New Roman" w:hAnsi="Times New Roman" w:cs="Times New Roman"/>
          <w:b/>
          <w:bCs/>
          <w:sz w:val="24"/>
          <w:szCs w:val="24"/>
          <w:lang w:val="en-US"/>
        </w:rPr>
        <w:lastRenderedPageBreak/>
        <w:t>Evaluation of Tests of General Cognitive Ability</w:t>
      </w:r>
    </w:p>
    <w:p w14:paraId="600B5473" w14:textId="77777777" w:rsidR="00B61383" w:rsidRPr="00B61383" w:rsidRDefault="00B61383" w:rsidP="00FD568F">
      <w:pPr>
        <w:spacing w:line="480" w:lineRule="auto"/>
        <w:jc w:val="center"/>
        <w:rPr>
          <w:rFonts w:ascii="Times New Roman" w:hAnsi="Times New Roman" w:cs="Times New Roman"/>
          <w:b/>
          <w:sz w:val="24"/>
          <w:szCs w:val="24"/>
          <w:lang w:val="en-US"/>
        </w:rPr>
      </w:pPr>
      <w:r w:rsidRPr="00B61383">
        <w:rPr>
          <w:rFonts w:ascii="Times New Roman" w:hAnsi="Times New Roman" w:cs="Times New Roman"/>
          <w:b/>
          <w:sz w:val="24"/>
          <w:szCs w:val="24"/>
          <w:lang w:val="en-US"/>
        </w:rPr>
        <w:t>Workplace Applications of General Cognitive Ability Assessments</w:t>
      </w:r>
    </w:p>
    <w:p w14:paraId="2DB3B8B7" w14:textId="718ACC0D"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Cognitive ability assessments are used in the job setting to predict both training performance and job performance. General cognitive ability assessments are good indicators of job performance in new employee training programs McDaniel &amp; Banks (2010). General cognitive ability is a strong indicator of work performance on a wide scale (McDaniel &amp; Banks, 2010). According to McDaniel &amp; Banks (2010), as the professions</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 xml:space="preserve"> complexity rises, so does the validity of cognitive aptitude assessments. Employees with higher cognitive capacity have a more vital ability to acquire and apply new information, adjusting better to new jobs (Campbell &amp; Wiernik, 2015).</w:t>
      </w:r>
    </w:p>
    <w:p w14:paraId="62C1FE66" w14:textId="77777777" w:rsidR="00B61383" w:rsidRPr="00B61383" w:rsidRDefault="00B61383" w:rsidP="00FD568F">
      <w:pPr>
        <w:spacing w:line="480" w:lineRule="auto"/>
        <w:jc w:val="center"/>
        <w:rPr>
          <w:rFonts w:ascii="Times New Roman" w:hAnsi="Times New Roman" w:cs="Times New Roman"/>
          <w:b/>
          <w:sz w:val="24"/>
          <w:szCs w:val="24"/>
          <w:lang w:val="en-US"/>
        </w:rPr>
      </w:pPr>
      <w:r w:rsidRPr="00B61383">
        <w:rPr>
          <w:rFonts w:ascii="Times New Roman" w:hAnsi="Times New Roman" w:cs="Times New Roman"/>
          <w:b/>
          <w:sz w:val="24"/>
          <w:szCs w:val="24"/>
          <w:lang w:val="en-US"/>
        </w:rPr>
        <w:t>Benefits and Drawbacks of General Cognitive Ability Assessments</w:t>
      </w:r>
    </w:p>
    <w:p w14:paraId="4749788E"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Tests of general cognitive ability have benefits and drawbacks alike. An advantage of cognitive ability assessment is when compared to specific cognitive abilities assessment to predict work and training performance. According to McDaniel &amp; Banks (2010), specific cognitive abilities do little to predict training and job performance over and beyond general cognitive ability. It is known that specific cognitive assessments only test a specific cognitive ability while general cognitive tests assess a range of cognitive abilities. </w:t>
      </w:r>
    </w:p>
    <w:p w14:paraId="68A2AFD5"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Despite the advantages of general cognitive assessments, there are some drawbacks. The white-black mean disparities in general cognitive ability are the greatest despite being the best job predictor (McDaniel &amp; Banks, 2010). The tests demonstrate an adverse impact on minorities. It can make racial diversity and merit selection conflicting goals (McDaniel &amp; Banks, 2010). </w:t>
      </w:r>
    </w:p>
    <w:p w14:paraId="44406CD3" w14:textId="77777777" w:rsidR="00B61383" w:rsidRPr="00B61383" w:rsidRDefault="00B61383" w:rsidP="00FD568F">
      <w:pPr>
        <w:spacing w:line="480" w:lineRule="auto"/>
        <w:jc w:val="center"/>
        <w:rPr>
          <w:rFonts w:ascii="Times New Roman" w:hAnsi="Times New Roman" w:cs="Times New Roman"/>
          <w:sz w:val="24"/>
          <w:szCs w:val="24"/>
          <w:lang w:val="en-US"/>
        </w:rPr>
      </w:pPr>
      <w:r w:rsidRPr="00B61383">
        <w:rPr>
          <w:rFonts w:ascii="Times New Roman" w:hAnsi="Times New Roman" w:cs="Times New Roman"/>
          <w:b/>
          <w:sz w:val="24"/>
          <w:szCs w:val="24"/>
          <w:lang w:val="en-US"/>
        </w:rPr>
        <w:t>Circumstances of using Cognitive Ability Assessments in the workplace</w:t>
      </w:r>
    </w:p>
    <w:p w14:paraId="769BAA73" w14:textId="3025CB14"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lastRenderedPageBreak/>
        <w:t xml:space="preserve">The use </w:t>
      </w:r>
      <w:r w:rsidR="005D09C4">
        <w:rPr>
          <w:rFonts w:ascii="Times New Roman" w:hAnsi="Times New Roman" w:cs="Times New Roman"/>
          <w:sz w:val="24"/>
          <w:szCs w:val="24"/>
          <w:lang w:val="en-US"/>
        </w:rPr>
        <w:t xml:space="preserve">general </w:t>
      </w:r>
      <w:r w:rsidRPr="00B61383">
        <w:rPr>
          <w:rFonts w:ascii="Times New Roman" w:hAnsi="Times New Roman" w:cs="Times New Roman"/>
          <w:sz w:val="24"/>
          <w:szCs w:val="24"/>
          <w:lang w:val="en-US"/>
        </w:rPr>
        <w:t xml:space="preserve">cognitive ability tests </w:t>
      </w:r>
      <w:r w:rsidR="005D09C4">
        <w:rPr>
          <w:rFonts w:ascii="Times New Roman" w:hAnsi="Times New Roman" w:cs="Times New Roman"/>
          <w:sz w:val="24"/>
          <w:szCs w:val="24"/>
          <w:lang w:val="en-US"/>
        </w:rPr>
        <w:t>are</w:t>
      </w:r>
      <w:r w:rsidRPr="00B61383">
        <w:rPr>
          <w:rFonts w:ascii="Times New Roman" w:hAnsi="Times New Roman" w:cs="Times New Roman"/>
          <w:sz w:val="24"/>
          <w:szCs w:val="24"/>
          <w:lang w:val="en-US"/>
        </w:rPr>
        <w:t xml:space="preserve"> appropriate in pre-employment assessment. According to Campbell &amp; Wiernik (2015), cognitive tests are part of an expanding set of applicant screening tests that help in the discovery of exceptional applicants while also speeding up and simplifying the hiring process. Furthermore, according to McDaniel &amp; Banks (2010), general cognitive ability evaluations are strong predictors of new employee training program effectiveness, such as in the police and military sectors. In addition, no one can do a good job unless they have the necessary job skills and expertise. As a result, learning is necessary for the growth of skill and information, and the rate at which one learns is related to one</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overall cognitive ability.</w:t>
      </w:r>
    </w:p>
    <w:p w14:paraId="4CE6E8C6" w14:textId="73A879AF"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Moreover, it is inappropriate to use cognitive tests as a tool for making hiring decisions. Testing cognitive abilities is </w:t>
      </w:r>
      <w:r w:rsidR="007F330C" w:rsidRPr="00FD568F">
        <w:rPr>
          <w:rFonts w:ascii="Times New Roman" w:hAnsi="Times New Roman" w:cs="Times New Roman"/>
          <w:sz w:val="24"/>
          <w:szCs w:val="24"/>
          <w:lang w:val="en-US"/>
        </w:rPr>
        <w:t>a</w:t>
      </w:r>
      <w:r w:rsidRPr="00B61383">
        <w:rPr>
          <w:rFonts w:ascii="Times New Roman" w:hAnsi="Times New Roman" w:cs="Times New Roman"/>
          <w:sz w:val="24"/>
          <w:szCs w:val="24"/>
          <w:lang w:val="en-US"/>
        </w:rPr>
        <w:t xml:space="preserve"> significant element of the screening process, but it</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only one piece of the jigsaw (Pulakos, 2005). A high score on the cognitive ability test does not always imply that a person is the best candidate for the job. As a result, cognitive skills tests should be used to help employers make recruiting decisions, but they should never be the primary factor in deciding whether or not to hire someone (Pulakos, 2005). To make a completely informed judgment, integrate cognitive ability testing with other exams and recruiting procedures.</w:t>
      </w:r>
    </w:p>
    <w:p w14:paraId="517CDC74" w14:textId="77777777" w:rsidR="00B61383" w:rsidRPr="00B61383" w:rsidRDefault="00B61383" w:rsidP="00FD568F">
      <w:pPr>
        <w:spacing w:line="480" w:lineRule="auto"/>
        <w:jc w:val="center"/>
        <w:rPr>
          <w:rFonts w:ascii="Times New Roman" w:hAnsi="Times New Roman" w:cs="Times New Roman"/>
          <w:b/>
          <w:sz w:val="24"/>
          <w:szCs w:val="24"/>
          <w:lang w:val="en-US"/>
        </w:rPr>
      </w:pPr>
      <w:bookmarkStart w:id="0" w:name="_Hlk79440415"/>
      <w:r w:rsidRPr="00B61383">
        <w:rPr>
          <w:rFonts w:ascii="Times New Roman" w:hAnsi="Times New Roman" w:cs="Times New Roman"/>
          <w:b/>
          <w:sz w:val="24"/>
          <w:szCs w:val="24"/>
          <w:lang w:val="en-US"/>
        </w:rPr>
        <w:t>Wonderlic Personnel Test (WPT)</w:t>
      </w:r>
      <w:bookmarkEnd w:id="0"/>
    </w:p>
    <w:p w14:paraId="3E2236E4"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Theoretical Framework and Application</w:t>
      </w:r>
    </w:p>
    <w:p w14:paraId="41A0A01F" w14:textId="4818962B"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 </w:t>
      </w:r>
      <w:r w:rsidR="004A4F70" w:rsidRPr="00B61383">
        <w:rPr>
          <w:rFonts w:ascii="Times New Roman" w:hAnsi="Times New Roman" w:cs="Times New Roman"/>
          <w:bCs/>
          <w:sz w:val="24"/>
          <w:szCs w:val="24"/>
          <w:lang w:val="en-US"/>
        </w:rPr>
        <w:t>Wonderlic Personnel Test (WPT)</w:t>
      </w:r>
      <w:r w:rsidRPr="00B61383">
        <w:rPr>
          <w:rFonts w:ascii="Times New Roman" w:hAnsi="Times New Roman" w:cs="Times New Roman"/>
          <w:sz w:val="24"/>
          <w:szCs w:val="24"/>
          <w:lang w:val="en-US"/>
        </w:rPr>
        <w:t xml:space="preserve"> is a twelve-minute problem-solving ability assessment that is extensively utilized as a screening tool in the business (Hicks, Harrison &amp; Engle, 2015). Its elements are based on the Otis Test of Mental Aptitude and grades relate impartially well with the general aptitude test battery</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general learning ability</w:t>
      </w:r>
      <w:r w:rsidR="004A4F70" w:rsidRPr="00FD568F">
        <w:rPr>
          <w:rFonts w:ascii="Times New Roman" w:hAnsi="Times New Roman" w:cs="Times New Roman"/>
          <w:sz w:val="24"/>
          <w:szCs w:val="24"/>
          <w:lang w:val="en-US"/>
        </w:rPr>
        <w:t>. I</w:t>
      </w:r>
      <w:r w:rsidRPr="00B61383">
        <w:rPr>
          <w:rFonts w:ascii="Times New Roman" w:hAnsi="Times New Roman" w:cs="Times New Roman"/>
          <w:sz w:val="24"/>
          <w:szCs w:val="24"/>
          <w:lang w:val="en-US"/>
        </w:rPr>
        <w:t xml:space="preserve">t is viewed as a test of general intelligence (Hicks, Harrison &amp; Engle, 2015). In addition, Hicks, Harrison </w:t>
      </w:r>
      <w:r w:rsidRPr="00B61383">
        <w:rPr>
          <w:rFonts w:ascii="Times New Roman" w:hAnsi="Times New Roman" w:cs="Times New Roman"/>
          <w:sz w:val="24"/>
          <w:szCs w:val="24"/>
          <w:lang w:val="en-US"/>
        </w:rPr>
        <w:lastRenderedPageBreak/>
        <w:t>&amp; Engle (2015) state that Wonderlic</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initial study interests focused on job performance indicators. The principal trial was large-scale, examining research that included personality, IQ, supervisor assessments, and other variables. It is a measure of intelligence, was a meaningful predictor of work success.</w:t>
      </w:r>
    </w:p>
    <w:p w14:paraId="4A2B9031" w14:textId="45B5BE86"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 xml:space="preserve">Wonderlic Personnel Test </w:t>
      </w:r>
      <w:r w:rsidR="004A4F70" w:rsidRPr="00FD568F">
        <w:rPr>
          <w:rFonts w:ascii="Times New Roman" w:hAnsi="Times New Roman" w:cs="Times New Roman"/>
          <w:b/>
          <w:sz w:val="24"/>
          <w:szCs w:val="24"/>
          <w:lang w:val="en-US"/>
        </w:rPr>
        <w:t>Application</w:t>
      </w:r>
    </w:p>
    <w:p w14:paraId="044773DB" w14:textId="17808E4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It is regarded </w:t>
      </w:r>
      <w:r w:rsidR="004A4F70" w:rsidRPr="00FD568F">
        <w:rPr>
          <w:rFonts w:ascii="Times New Roman" w:hAnsi="Times New Roman" w:cs="Times New Roman"/>
          <w:sz w:val="24"/>
          <w:szCs w:val="24"/>
          <w:lang w:val="en-US"/>
        </w:rPr>
        <w:t xml:space="preserve">as an </w:t>
      </w:r>
      <w:r w:rsidRPr="00B61383">
        <w:rPr>
          <w:rFonts w:ascii="Times New Roman" w:hAnsi="Times New Roman" w:cs="Times New Roman"/>
          <w:sz w:val="24"/>
          <w:szCs w:val="24"/>
          <w:lang w:val="en-US"/>
        </w:rPr>
        <w:t>employment intelligence exam for corporate staff selection and placement and vocational coaching (Hicks, Harrison &amp; Engle, 2015). The Wonderlic assesses a person</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capacity to learn, adapt, solve problems, and comprehend instructions.</w:t>
      </w:r>
    </w:p>
    <w:p w14:paraId="44345A0C" w14:textId="511C114C"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 xml:space="preserve">Target Populations </w:t>
      </w:r>
      <w:r w:rsidR="00164D0A" w:rsidRPr="00FD568F">
        <w:rPr>
          <w:rFonts w:ascii="Times New Roman" w:hAnsi="Times New Roman" w:cs="Times New Roman"/>
          <w:b/>
          <w:sz w:val="24"/>
          <w:szCs w:val="24"/>
          <w:lang w:val="en-US"/>
        </w:rPr>
        <w:t>for</w:t>
      </w:r>
      <w:r w:rsidRPr="00B61383">
        <w:rPr>
          <w:rFonts w:ascii="Times New Roman" w:hAnsi="Times New Roman" w:cs="Times New Roman"/>
          <w:b/>
          <w:sz w:val="24"/>
          <w:szCs w:val="24"/>
          <w:lang w:val="en-US"/>
        </w:rPr>
        <w:t xml:space="preserve"> </w:t>
      </w:r>
      <w:r w:rsidR="00164D0A" w:rsidRPr="00FD568F">
        <w:rPr>
          <w:rFonts w:ascii="Times New Roman" w:hAnsi="Times New Roman" w:cs="Times New Roman"/>
          <w:b/>
          <w:sz w:val="24"/>
          <w:szCs w:val="24"/>
          <w:lang w:val="en-US"/>
        </w:rPr>
        <w:t xml:space="preserve">the </w:t>
      </w:r>
      <w:r w:rsidRPr="00B61383">
        <w:rPr>
          <w:rFonts w:ascii="Times New Roman" w:hAnsi="Times New Roman" w:cs="Times New Roman"/>
          <w:b/>
          <w:sz w:val="24"/>
          <w:szCs w:val="24"/>
          <w:lang w:val="en-US"/>
        </w:rPr>
        <w:t xml:space="preserve">Wonderlic Personnel Test </w:t>
      </w:r>
    </w:p>
    <w:p w14:paraId="276F4EC2"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The target populations of the Wonderlic assessment are the employees. It is a reliable predictor of future work performance and may be used in jobs ranging from ordinary to complicated (Hicks, Harrison &amp; Engle, 2015).</w:t>
      </w:r>
    </w:p>
    <w:p w14:paraId="742D3E7E"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Reliability and Validity of the Wonderlic Personnel Assessment</w:t>
      </w:r>
    </w:p>
    <w:p w14:paraId="06C355B2" w14:textId="5B724F69"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According to McKelvie (1989), the Wonderlic was administered to 290 full-time students across three years under normal conditions. Students enrolled in a psychological assessment course did the testing. Each student gave the exam to around ten participants recruited for this portion of the study if they agreed to let the author (not the testers) read their transcripts (McKelvie, 1989). The findings revealed Wonderlic’s </w:t>
      </w:r>
      <w:r w:rsidR="003573D6" w:rsidRPr="00FD568F">
        <w:rPr>
          <w:rFonts w:ascii="Times New Roman" w:hAnsi="Times New Roman" w:cs="Times New Roman"/>
          <w:sz w:val="24"/>
          <w:szCs w:val="24"/>
          <w:lang w:val="en-US"/>
        </w:rPr>
        <w:t>constituency</w:t>
      </w:r>
      <w:r w:rsidRPr="00B61383">
        <w:rPr>
          <w:rFonts w:ascii="Times New Roman" w:hAnsi="Times New Roman" w:cs="Times New Roman"/>
          <w:sz w:val="24"/>
          <w:szCs w:val="24"/>
          <w:lang w:val="en-US"/>
        </w:rPr>
        <w:t xml:space="preserve"> for undergrads and that their mean dropped as predicted based on Wonderlic norms. The short validity constant given in the handbook and validated here, on the other hand, implies that the exam has limited practical utility as </w:t>
      </w:r>
      <w:r w:rsidR="007F330C" w:rsidRPr="00FD568F">
        <w:rPr>
          <w:rFonts w:ascii="Times New Roman" w:hAnsi="Times New Roman" w:cs="Times New Roman"/>
          <w:sz w:val="24"/>
          <w:szCs w:val="24"/>
          <w:lang w:val="en-US"/>
        </w:rPr>
        <w:t>an</w:t>
      </w:r>
      <w:r w:rsidRPr="00B61383">
        <w:rPr>
          <w:rFonts w:ascii="Times New Roman" w:hAnsi="Times New Roman" w:cs="Times New Roman"/>
          <w:sz w:val="24"/>
          <w:szCs w:val="24"/>
          <w:lang w:val="en-US"/>
        </w:rPr>
        <w:t xml:space="preserve"> indicator of discrete results (McKelvie, 1989).</w:t>
      </w:r>
    </w:p>
    <w:p w14:paraId="0EBB5320"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Administration Considerations and Costs of</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Wonderlic Personnel Assessment</w:t>
      </w:r>
    </w:p>
    <w:p w14:paraId="4370B4B6" w14:textId="77777777" w:rsidR="00B61383" w:rsidRPr="00B61383" w:rsidRDefault="00B61383" w:rsidP="00FD568F">
      <w:pPr>
        <w:spacing w:line="480" w:lineRule="auto"/>
        <w:ind w:firstLine="720"/>
        <w:rPr>
          <w:rFonts w:ascii="Times New Roman" w:hAnsi="Times New Roman" w:cs="Times New Roman"/>
          <w:b/>
          <w:sz w:val="24"/>
          <w:szCs w:val="24"/>
          <w:lang w:val="en-US"/>
        </w:rPr>
      </w:pPr>
      <w:r w:rsidRPr="00B61383">
        <w:rPr>
          <w:rFonts w:ascii="Times New Roman" w:hAnsi="Times New Roman" w:cs="Times New Roman"/>
          <w:sz w:val="24"/>
          <w:szCs w:val="24"/>
          <w:lang w:val="en-US"/>
        </w:rPr>
        <w:lastRenderedPageBreak/>
        <w:t>Wonderlic in your recruiting process can help you save time and money by lowering your recruitment and training costs. The administration of Wonderlic assessment was developed in response to the Otis Self-Administering Assessment in order to create a short form evaluation of cognitive ability (McKelvie, 1989).</w:t>
      </w:r>
    </w:p>
    <w:p w14:paraId="55D18BE6"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Advantages and Disadvantages of the Wonderlic Personnel Assessment</w:t>
      </w:r>
    </w:p>
    <w:p w14:paraId="62F0D1F7" w14:textId="3824D8BB"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One advantage of the WPT is its reliability. The psychologists discovered a reliability of.90 in the same form and much higher in parallel form (Geisinger, 2001). With such brevity, the Wonderlic IQ test</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reliability is astounding. The Wonderlic IQ exam provides empirical data that may be used to assess its reliability (Geisinger, 2001).  The objective calculations and expert interpretations assist psychologists in determining if it is appropriate for all scenarios.</w:t>
      </w:r>
    </w:p>
    <w:p w14:paraId="4BB3E1A6"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Despite the advantages of the WPT, it has its drawbacks. According to Geisinger (2001), the Wonderlic guideline includes cutting scores for almost 75 different occupations. It enhances the possibility of an inexperienced personnel officer misinterpreting specific scores. As a result, the outcomes are adverse for ethnic minorities. The racial disparities in Wonderlic scores are substantial. Another disadvantage is that the Wonderlic IQ test includes interpretative guidelines to assist examiners and ensure form and content consistency (Geisinger, 2001).  The interpretative instructions of the WPT, according to detractors, are arbitrary and unduly restrictive.</w:t>
      </w:r>
    </w:p>
    <w:p w14:paraId="4EE46CE1" w14:textId="25313130"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 xml:space="preserve">Appropriate and Inappropriate Circumstances </w:t>
      </w:r>
      <w:r w:rsidR="00164D0A" w:rsidRPr="00FD568F">
        <w:rPr>
          <w:rFonts w:ascii="Times New Roman" w:hAnsi="Times New Roman" w:cs="Times New Roman"/>
          <w:b/>
          <w:sz w:val="24"/>
          <w:szCs w:val="24"/>
          <w:lang w:val="en-US"/>
        </w:rPr>
        <w:t>t</w:t>
      </w:r>
      <w:r w:rsidRPr="00B61383">
        <w:rPr>
          <w:rFonts w:ascii="Times New Roman" w:hAnsi="Times New Roman" w:cs="Times New Roman"/>
          <w:b/>
          <w:sz w:val="24"/>
          <w:szCs w:val="24"/>
          <w:lang w:val="en-US"/>
        </w:rPr>
        <w:t>hat Wonderlic Personnel Assessment Would be Used</w:t>
      </w:r>
    </w:p>
    <w:p w14:paraId="2C31C9D5" w14:textId="7B54FA9F"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WPT falls under organizational psychology. One would use Wonderlic tests to assess an applicant</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 xml:space="preserve">s employment potential, educational potential, and training potential. It is not </w:t>
      </w:r>
      <w:r w:rsidRPr="00B61383">
        <w:rPr>
          <w:rFonts w:ascii="Times New Roman" w:hAnsi="Times New Roman" w:cs="Times New Roman"/>
          <w:sz w:val="24"/>
          <w:szCs w:val="24"/>
          <w:lang w:val="en-US"/>
        </w:rPr>
        <w:lastRenderedPageBreak/>
        <w:t>suitable to utilize Wonderlic assessments to make recruiting decisions. Wonderlic exams are a crucial part of the screening process, but they are just one piece of the puzzle.</w:t>
      </w:r>
    </w:p>
    <w:p w14:paraId="0D18BEE8" w14:textId="77777777" w:rsidR="00B61383" w:rsidRPr="00B61383" w:rsidRDefault="00B61383" w:rsidP="00FD568F">
      <w:pPr>
        <w:spacing w:line="480" w:lineRule="auto"/>
        <w:jc w:val="center"/>
        <w:rPr>
          <w:rFonts w:ascii="Times New Roman" w:hAnsi="Times New Roman" w:cs="Times New Roman"/>
          <w:b/>
          <w:sz w:val="24"/>
          <w:szCs w:val="24"/>
          <w:lang w:val="en-US"/>
        </w:rPr>
      </w:pPr>
      <w:r w:rsidRPr="00B61383">
        <w:rPr>
          <w:rFonts w:ascii="Times New Roman" w:hAnsi="Times New Roman" w:cs="Times New Roman"/>
          <w:b/>
          <w:sz w:val="24"/>
          <w:szCs w:val="24"/>
          <w:lang w:val="en-US"/>
        </w:rPr>
        <w:t>Employee Aptitude Surveys</w:t>
      </w:r>
    </w:p>
    <w:p w14:paraId="09608B8C"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Theoretical Framework</w:t>
      </w:r>
    </w:p>
    <w:p w14:paraId="57D6355A" w14:textId="3851DFC1"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The Employee Aptitude Surveys (EAS) series comprises ten tests that were created mainly to assess cognitive, perceptual, and psychomotor abilities necessary for successful work performance in a wide range of vocations (Knapp &amp; Mujtaba, 2010). EAS ha</w:t>
      </w:r>
      <w:r w:rsidR="004A4F70" w:rsidRPr="00FD568F">
        <w:rPr>
          <w:rFonts w:ascii="Times New Roman" w:hAnsi="Times New Roman" w:cs="Times New Roman"/>
          <w:sz w:val="24"/>
          <w:szCs w:val="24"/>
          <w:lang w:val="en-US"/>
        </w:rPr>
        <w:t>ve</w:t>
      </w:r>
      <w:r w:rsidRPr="00B61383">
        <w:rPr>
          <w:rFonts w:ascii="Times New Roman" w:hAnsi="Times New Roman" w:cs="Times New Roman"/>
          <w:sz w:val="24"/>
          <w:szCs w:val="24"/>
          <w:lang w:val="en-US"/>
        </w:rPr>
        <w:t xml:space="preserve"> shown to be a valuable and dependable instrument for personnel selection and career guidance (Knapp &amp; Mujtaba, 2010). In addition, EAS </w:t>
      </w:r>
      <w:r w:rsidR="004A4F70" w:rsidRPr="00FD568F">
        <w:rPr>
          <w:rFonts w:ascii="Times New Roman" w:hAnsi="Times New Roman" w:cs="Times New Roman"/>
          <w:sz w:val="24"/>
          <w:szCs w:val="24"/>
          <w:lang w:val="en-US"/>
        </w:rPr>
        <w:t>are</w:t>
      </w:r>
      <w:r w:rsidRPr="00B61383">
        <w:rPr>
          <w:rFonts w:ascii="Times New Roman" w:hAnsi="Times New Roman" w:cs="Times New Roman"/>
          <w:sz w:val="24"/>
          <w:szCs w:val="24"/>
          <w:lang w:val="en-US"/>
        </w:rPr>
        <w:t xml:space="preserve"> a vital tool for demonstrating to employees that management values their opinion and wants to incorporate it into decision-making. Such views have been linked to higher morale, productivity, and motivation. </w:t>
      </w:r>
    </w:p>
    <w:p w14:paraId="4FC9A013"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Employee Aptitude Surveys Application and Use</w:t>
      </w:r>
    </w:p>
    <w:p w14:paraId="050EE5B4" w14:textId="68E58554"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EAS are tools that organizational executives use to get input on and assess employee engagement, morale, work culture, and performance (Knapp &amp; Mujtaba, 2010). Surveys, which are often completed anonymously, are also used to get a comprehensive picture of employees</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 xml:space="preserve"> opinions on working conditions, supervisory influence</w:t>
      </w:r>
      <w:r w:rsidR="004A4F70" w:rsidRPr="00FD568F">
        <w:rPr>
          <w:rFonts w:ascii="Times New Roman" w:hAnsi="Times New Roman" w:cs="Times New Roman"/>
          <w:sz w:val="24"/>
          <w:szCs w:val="24"/>
          <w:lang w:val="en-US"/>
        </w:rPr>
        <w:t xml:space="preserve"> </w:t>
      </w:r>
      <w:r w:rsidRPr="00B61383">
        <w:rPr>
          <w:rFonts w:ascii="Times New Roman" w:hAnsi="Times New Roman" w:cs="Times New Roman"/>
          <w:sz w:val="24"/>
          <w:szCs w:val="24"/>
          <w:lang w:val="en-US"/>
        </w:rPr>
        <w:t>and motivation that conventional lines of communication may not provide.</w:t>
      </w:r>
    </w:p>
    <w:p w14:paraId="278ED3FA"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Target Population of the</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Employee Aptitude Surveys</w:t>
      </w:r>
    </w:p>
    <w:p w14:paraId="2D66F065" w14:textId="5C0981E3"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The target populations of an EAS are the employees in organization</w:t>
      </w:r>
      <w:r w:rsidR="00B22AFB" w:rsidRPr="00FD568F">
        <w:rPr>
          <w:rFonts w:ascii="Times New Roman" w:hAnsi="Times New Roman" w:cs="Times New Roman"/>
          <w:sz w:val="24"/>
          <w:szCs w:val="24"/>
          <w:lang w:val="en-US"/>
        </w:rPr>
        <w:t>s</w:t>
      </w:r>
      <w:r w:rsidRPr="00B61383">
        <w:rPr>
          <w:rFonts w:ascii="Times New Roman" w:hAnsi="Times New Roman" w:cs="Times New Roman"/>
          <w:sz w:val="24"/>
          <w:szCs w:val="24"/>
          <w:lang w:val="en-US"/>
        </w:rPr>
        <w:t>. According to Knapp &amp; Mujtaba (2010), an employee opinion survey is intended to elicit opinions/suggestions on current topics concerning the Human Resources Department or the issuing department.</w:t>
      </w:r>
    </w:p>
    <w:p w14:paraId="61210C9C" w14:textId="77777777" w:rsidR="00B61383" w:rsidRPr="00B61383" w:rsidRDefault="00B61383" w:rsidP="00FD568F">
      <w:pPr>
        <w:spacing w:line="480" w:lineRule="auto"/>
        <w:rPr>
          <w:rFonts w:ascii="Times New Roman" w:hAnsi="Times New Roman" w:cs="Times New Roman"/>
          <w:sz w:val="24"/>
          <w:szCs w:val="24"/>
          <w:lang w:val="en-US"/>
        </w:rPr>
      </w:pPr>
      <w:r w:rsidRPr="00B61383">
        <w:rPr>
          <w:rFonts w:ascii="Times New Roman" w:hAnsi="Times New Roman" w:cs="Times New Roman"/>
          <w:b/>
          <w:sz w:val="24"/>
          <w:szCs w:val="24"/>
          <w:lang w:val="en-US"/>
        </w:rPr>
        <w:t>Reliability and Validity of the</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Employee Aptitude Surveys</w:t>
      </w:r>
      <w:r w:rsidRPr="00B61383">
        <w:rPr>
          <w:rFonts w:ascii="Times New Roman" w:hAnsi="Times New Roman" w:cs="Times New Roman"/>
          <w:sz w:val="24"/>
          <w:szCs w:val="24"/>
          <w:lang w:val="en-US"/>
        </w:rPr>
        <w:t xml:space="preserve"> </w:t>
      </w:r>
    </w:p>
    <w:p w14:paraId="4BEDA62C" w14:textId="45447909"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lastRenderedPageBreak/>
        <w:t>According to Schermer &amp; Goffin (2021), the alternate-form reliability coefficients vary between 75 and 91. These reliabilities compare highly with similar exams, especially given the short duration of the employee aptitude survey tests. The EAS series</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 xml:space="preserve"> validity for predicting work performance and training success is supported by studies (Schermer &amp; Goffin, 2021). National studies have been performed at some of America</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influential organizations and small businesses with as little as 100 employees (Schermer &amp; Goffin, 2021). A meta-analysis recently summarized 160 criterion-related validation studies with 725 validity coefficients (Schermer &amp; Goffin, 2021).</w:t>
      </w:r>
    </w:p>
    <w:p w14:paraId="770CB63B"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Administration Considerations and Costs of</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Employee Aptitude Surveys</w:t>
      </w:r>
    </w:p>
    <w:p w14:paraId="3DB7E3E1"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EAS involve self-administered questionnaires; hence a great deal of preparation is required (Knapp &amp; Mujtaba, 2010). Self-administered surveys generally give a high level of anonymity and secrecy and are frequently the technique of choice for surveys, including sensitive items. The cost of employee aptitude tests is low since most of the tests are completed in about five minutes, and each assessment is included on a single sheet (Knapp &amp; Mujtaba, 2010).</w:t>
      </w:r>
    </w:p>
    <w:p w14:paraId="52ADFEB0"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Advantages and Disadvantages of</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Employee Aptitude Surveys</w:t>
      </w:r>
    </w:p>
    <w:p w14:paraId="78107881" w14:textId="4262062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One of the advantages is it is fast administration. The majority of the tests are about five minutes long. Each exam is included on a single page of the paper. The instructions are printed on the front of the test sheet, and the exam questions are printed on the back (Knapp &amp; Mujtaba, 2010). Another advantage of the EAS is that it is easy to score and interpret. According to Knapp &amp; Mujtaba (2010), the employee aptitude tests are meant to be scored by hand. Stencils are supplied to score both correct and incorrect replies. The scoring guidelines in the Examiner</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Manual are concise and straightforward. For assessments 1-7 and 10, optically scannable forms are provided.</w:t>
      </w:r>
    </w:p>
    <w:p w14:paraId="2AEBF383"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lastRenderedPageBreak/>
        <w:t>A disadvantage of the EAS test is that it requires the management to be proactive. Managers must understand that using this tool necessitates ongoing effort and commitment from the top down. Adopting this instrument represents a solid commitment to listen to and respond to survey results (Knapp &amp; Mujtaba, 2010).  Employees will develop a lack of confidence and devotion to management if this is not done. Another disadvantage of the employee aptitude survey test is that it induces test anxiety among employees and this might lead to not have an accurate assessment of the employees (Knapp &amp; Mujtaba, 2010).</w:t>
      </w:r>
    </w:p>
    <w:p w14:paraId="38E9ABCD" w14:textId="77777777" w:rsidR="00B61383" w:rsidRPr="00B61383" w:rsidRDefault="00B61383" w:rsidP="00FD568F">
      <w:pPr>
        <w:spacing w:line="480" w:lineRule="auto"/>
        <w:rPr>
          <w:rFonts w:ascii="Times New Roman" w:hAnsi="Times New Roman" w:cs="Times New Roman"/>
          <w:b/>
          <w:bCs/>
          <w:sz w:val="24"/>
          <w:szCs w:val="24"/>
          <w:lang w:val="en-US"/>
        </w:rPr>
      </w:pPr>
      <w:r w:rsidRPr="00B61383">
        <w:rPr>
          <w:rFonts w:ascii="Times New Roman" w:hAnsi="Times New Roman" w:cs="Times New Roman"/>
          <w:b/>
          <w:bCs/>
          <w:sz w:val="24"/>
          <w:szCs w:val="24"/>
          <w:lang w:val="en-US"/>
        </w:rPr>
        <w:t>Circumstances that the use of Employee Aptitude Tests Would be Appropriate and Inappropriate.</w:t>
      </w:r>
    </w:p>
    <w:p w14:paraId="7770AEB0" w14:textId="6B3DC73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It is appropriate to use EAS to evaluate the progress of an organization about its personnel. It entails work culture, employee engagement, commitment, and return on human capital (Knapp &amp; Mujtaba, 2010). It is also inappropriate to use EAS to decide on an employee or the organization</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performance. According to Knapp &amp; Mujtaba (2010), an assessment test does not give a complete view. A candidate</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performance on an intelligence assessment does not ensure that they will work well in the actual world when a certain situation arises.</w:t>
      </w:r>
    </w:p>
    <w:p w14:paraId="38EA8043" w14:textId="77777777" w:rsidR="00B61383" w:rsidRPr="00B61383" w:rsidRDefault="00B61383" w:rsidP="00FD568F">
      <w:pPr>
        <w:spacing w:line="480" w:lineRule="auto"/>
        <w:jc w:val="center"/>
        <w:rPr>
          <w:rFonts w:ascii="Times New Roman" w:hAnsi="Times New Roman" w:cs="Times New Roman"/>
          <w:b/>
          <w:sz w:val="24"/>
          <w:szCs w:val="24"/>
          <w:lang w:val="en-US"/>
        </w:rPr>
      </w:pPr>
      <w:r w:rsidRPr="00B61383">
        <w:rPr>
          <w:rFonts w:ascii="Times New Roman" w:hAnsi="Times New Roman" w:cs="Times New Roman"/>
          <w:b/>
          <w:sz w:val="24"/>
          <w:szCs w:val="24"/>
          <w:lang w:val="en-US"/>
        </w:rPr>
        <w:t>General Aptitude Test Battery</w:t>
      </w:r>
    </w:p>
    <w:p w14:paraId="17475A97"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Theoretical Framework</w:t>
      </w:r>
    </w:p>
    <w:p w14:paraId="276B1AF0"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The National Academy of Science (NAS) published a comprehensive test assessment in the report fairness in employment testing (Hunter, 1983) known as General Aptitude Test Battery (GATB). GATB makes up twelve individually timed subtests used to generate nine ability totals (Hunter, 1983).  The test administration took two and a half hours and did not necessitate the use of a specialist. The NAS found that the GATB is sufficient in psychometric quality. However, there are two issues if it is widely utilized in practice. The </w:t>
      </w:r>
      <w:r w:rsidRPr="00B61383">
        <w:rPr>
          <w:rFonts w:ascii="Times New Roman" w:hAnsi="Times New Roman" w:cs="Times New Roman"/>
          <w:sz w:val="24"/>
          <w:szCs w:val="24"/>
          <w:lang w:val="en-US"/>
        </w:rPr>
        <w:lastRenderedPageBreak/>
        <w:t>first was that there were few other formats, which increases the likelihood that others may get a copy of the exam and give on-test instruction, lowering the validity (Hunter, 1983).  The second was that many of the exams were significantly speeded (timed).</w:t>
      </w:r>
    </w:p>
    <w:p w14:paraId="52F538FC" w14:textId="10999E65"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General Aptitude Test Battery Application Circumstances</w:t>
      </w:r>
    </w:p>
    <w:p w14:paraId="2498068C"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The assessment was widely utilized and studied in employee counseling and selection, particularly in state employment agencies (Hunter, 1983). This general cognitive ability test is probably best utilized in counseling situations combined with an occupational interest assessment so that talents and interests could be examined concurrently.</w:t>
      </w:r>
    </w:p>
    <w:p w14:paraId="773FEB05"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Target Population of the</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General Aptitude Test Battery</w:t>
      </w:r>
    </w:p>
    <w:p w14:paraId="6A280790" w14:textId="5C865A35"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The target population of GATB mainly was the employees in the state agencies and state employment offices. GATB</w:t>
      </w:r>
      <w:r w:rsidR="004A4F70" w:rsidRPr="00FD568F">
        <w:rPr>
          <w:rFonts w:ascii="Times New Roman" w:hAnsi="Times New Roman" w:cs="Times New Roman"/>
          <w:sz w:val="24"/>
          <w:szCs w:val="24"/>
          <w:lang w:val="en-US"/>
        </w:rPr>
        <w:t>’</w:t>
      </w:r>
      <w:r w:rsidRPr="00B61383">
        <w:rPr>
          <w:rFonts w:ascii="Times New Roman" w:hAnsi="Times New Roman" w:cs="Times New Roman"/>
          <w:sz w:val="24"/>
          <w:szCs w:val="24"/>
          <w:lang w:val="en-US"/>
        </w:rPr>
        <w:t>s principal objective was to match employee talents to specific professions and provide occupational counseling (Hunter, 1983).</w:t>
      </w:r>
    </w:p>
    <w:p w14:paraId="1CB71D1F"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Reliability and Validity of the</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General Aptitude Test Battery</w:t>
      </w:r>
    </w:p>
    <w:p w14:paraId="37E4E0C4"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Extensive studies typically support the reliability and validity of GATB. According to Hunter (1983), numerous studies, for example, show that the GATB mediums have satisfactory test-retest reliability, convergent legitimacy, and the least unexceptional links with job performance ratings. However, the evidence for cognitive aptitudes is often more substantial than perceptual or psychomotor aptitudes (Hunter, 1983).</w:t>
      </w:r>
    </w:p>
    <w:p w14:paraId="628F8303"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Administration Considerations and Costs of</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General Aptitude Test Battery</w:t>
      </w:r>
    </w:p>
    <w:p w14:paraId="36A1F2B1"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GATB consisted of twelve timed and individually scored subtests that were combined to provide nine aptitude scores. It took two and a half hours to administer the test without the help of a professional (Hunter, 1983). Individuals in grades nine through twelve and those in </w:t>
      </w:r>
      <w:r w:rsidRPr="00B61383">
        <w:rPr>
          <w:rFonts w:ascii="Times New Roman" w:hAnsi="Times New Roman" w:cs="Times New Roman"/>
          <w:sz w:val="24"/>
          <w:szCs w:val="24"/>
          <w:lang w:val="en-US"/>
        </w:rPr>
        <w:lastRenderedPageBreak/>
        <w:t>the workforce might take the test. Therefore, the costs for administering the GATB are meager since no professional was required.</w:t>
      </w:r>
    </w:p>
    <w:p w14:paraId="7DE839A7" w14:textId="77777777" w:rsidR="00B61383" w:rsidRPr="00B61383" w:rsidRDefault="00B61383" w:rsidP="00FD568F">
      <w:pPr>
        <w:spacing w:line="480" w:lineRule="auto"/>
        <w:rPr>
          <w:rFonts w:ascii="Times New Roman" w:hAnsi="Times New Roman" w:cs="Times New Roman"/>
          <w:b/>
          <w:sz w:val="24"/>
          <w:szCs w:val="24"/>
          <w:lang w:val="en-US"/>
        </w:rPr>
      </w:pPr>
      <w:r w:rsidRPr="00B61383">
        <w:rPr>
          <w:rFonts w:ascii="Times New Roman" w:hAnsi="Times New Roman" w:cs="Times New Roman"/>
          <w:b/>
          <w:sz w:val="24"/>
          <w:szCs w:val="24"/>
          <w:lang w:val="en-US"/>
        </w:rPr>
        <w:t>Advantages and Disadvantages of</w:t>
      </w:r>
      <w:r w:rsidRPr="00B61383">
        <w:rPr>
          <w:rFonts w:ascii="Times New Roman" w:hAnsi="Times New Roman" w:cs="Times New Roman"/>
          <w:sz w:val="24"/>
          <w:szCs w:val="24"/>
          <w:lang w:val="en-US"/>
        </w:rPr>
        <w:t xml:space="preserve"> </w:t>
      </w:r>
      <w:r w:rsidRPr="00B61383">
        <w:rPr>
          <w:rFonts w:ascii="Times New Roman" w:hAnsi="Times New Roman" w:cs="Times New Roman"/>
          <w:b/>
          <w:sz w:val="24"/>
          <w:szCs w:val="24"/>
          <w:lang w:val="en-US"/>
        </w:rPr>
        <w:t>General Aptitude Test Battery</w:t>
      </w:r>
    </w:p>
    <w:p w14:paraId="50F8B533" w14:textId="37B35F91"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One advantage of GATB it is best utilized in counseling settings in combination with an occupational interest assessment so that talents and interests could be assessed simultaneously (Hunter, 1983). Another advantage of the GATB is that it was easy to administer and score since it did not require a professional. Despite the benefits of the GATB, there were some disadvantages. The test aptitude composites are too linked</w:t>
      </w:r>
      <w:r w:rsidR="00503CDE" w:rsidRPr="00FD568F">
        <w:rPr>
          <w:rFonts w:ascii="Times New Roman" w:hAnsi="Times New Roman" w:cs="Times New Roman"/>
          <w:sz w:val="24"/>
          <w:szCs w:val="24"/>
          <w:lang w:val="en-US"/>
        </w:rPr>
        <w:t xml:space="preserve"> and</w:t>
      </w:r>
      <w:r w:rsidRPr="00B61383">
        <w:rPr>
          <w:rFonts w:ascii="Times New Roman" w:hAnsi="Times New Roman" w:cs="Times New Roman"/>
          <w:sz w:val="24"/>
          <w:szCs w:val="24"/>
          <w:lang w:val="en-US"/>
        </w:rPr>
        <w:t xml:space="preserve"> therefore, there was no discriminant validity (Hunter, 1983). </w:t>
      </w:r>
      <w:r w:rsidR="004A4F70" w:rsidRPr="00FD568F">
        <w:rPr>
          <w:rFonts w:ascii="Times New Roman" w:hAnsi="Times New Roman" w:cs="Times New Roman"/>
          <w:sz w:val="24"/>
          <w:szCs w:val="24"/>
          <w:lang w:val="en-US"/>
        </w:rPr>
        <w:t>GATB’</w:t>
      </w:r>
      <w:r w:rsidRPr="00B61383">
        <w:rPr>
          <w:rFonts w:ascii="Times New Roman" w:hAnsi="Times New Roman" w:cs="Times New Roman"/>
          <w:sz w:val="24"/>
          <w:szCs w:val="24"/>
          <w:lang w:val="en-US"/>
        </w:rPr>
        <w:t>s different cognitive subtests all evaluated the same item or traits. Another disadvantage of the GATB was the use GATBs that require relatively high levels of reading and mathematical computations with educationally and culturally disadvantaged people (Hunter, 1983). Furthermore, the initial norm groups were constrained by being both tiny and exclusively male. The job categorization system upon which the test was based was also highly out of date.</w:t>
      </w:r>
    </w:p>
    <w:p w14:paraId="704C5757" w14:textId="77777777" w:rsidR="00B61383" w:rsidRPr="00B61383" w:rsidRDefault="00B61383" w:rsidP="00FD568F">
      <w:pPr>
        <w:spacing w:line="480" w:lineRule="auto"/>
        <w:ind w:firstLine="720"/>
        <w:rPr>
          <w:rFonts w:ascii="Times New Roman" w:hAnsi="Times New Roman" w:cs="Times New Roman"/>
          <w:sz w:val="24"/>
          <w:szCs w:val="24"/>
          <w:lang w:val="en-US"/>
        </w:rPr>
      </w:pPr>
      <w:r w:rsidRPr="00B61383">
        <w:rPr>
          <w:rFonts w:ascii="Times New Roman" w:hAnsi="Times New Roman" w:cs="Times New Roman"/>
          <w:sz w:val="24"/>
          <w:szCs w:val="24"/>
          <w:lang w:val="en-US"/>
        </w:rPr>
        <w:t>It is appropriate to use GATB in employee selection and counseling. According to Hunter (1983), it was probably best utilized in counseling situations combined with an occupational interest assessment to examine talents and interests concurrently. Moreover, it is inappropriate to use GATB when an organization requires quick assessments, and it assessing a lot of individuals because GATB is quite lengthy and tiring.</w:t>
      </w:r>
    </w:p>
    <w:p w14:paraId="209747C9" w14:textId="77777777" w:rsidR="0008099B" w:rsidRDefault="0008099B" w:rsidP="00FD568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3BBFA170" w14:textId="7020422A" w:rsidR="00B61383" w:rsidRPr="00B61383" w:rsidRDefault="00B61383" w:rsidP="00FD568F">
      <w:pPr>
        <w:spacing w:line="480" w:lineRule="auto"/>
        <w:jc w:val="center"/>
        <w:rPr>
          <w:rFonts w:ascii="Times New Roman" w:hAnsi="Times New Roman" w:cs="Times New Roman"/>
          <w:b/>
          <w:sz w:val="24"/>
          <w:szCs w:val="24"/>
          <w:lang w:val="en-US"/>
        </w:rPr>
      </w:pPr>
      <w:r w:rsidRPr="00B61383">
        <w:rPr>
          <w:rFonts w:ascii="Times New Roman" w:hAnsi="Times New Roman" w:cs="Times New Roman"/>
          <w:b/>
          <w:sz w:val="24"/>
          <w:szCs w:val="24"/>
          <w:lang w:val="en-US"/>
        </w:rPr>
        <w:lastRenderedPageBreak/>
        <w:t>References</w:t>
      </w:r>
    </w:p>
    <w:p w14:paraId="37BD89F8"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Campbell, J. P., &amp; Wiernik, B. M. (2015). The modeling and assessment of work performance. </w:t>
      </w:r>
      <w:r w:rsidRPr="00B61383">
        <w:rPr>
          <w:rFonts w:ascii="Times New Roman" w:hAnsi="Times New Roman" w:cs="Times New Roman"/>
          <w:i/>
          <w:iCs/>
          <w:sz w:val="24"/>
          <w:szCs w:val="24"/>
          <w:lang w:val="en-US"/>
        </w:rPr>
        <w:t>Annu. Rev. Organ. Psychol. Organ. Behav.</w:t>
      </w:r>
      <w:r w:rsidRPr="00B61383">
        <w:rPr>
          <w:rFonts w:ascii="Times New Roman" w:hAnsi="Times New Roman" w:cs="Times New Roman"/>
          <w:sz w:val="24"/>
          <w:szCs w:val="24"/>
          <w:lang w:val="en-US"/>
        </w:rPr>
        <w:t xml:space="preserve">, </w:t>
      </w:r>
      <w:r w:rsidRPr="00B61383">
        <w:rPr>
          <w:rFonts w:ascii="Times New Roman" w:hAnsi="Times New Roman" w:cs="Times New Roman"/>
          <w:i/>
          <w:iCs/>
          <w:sz w:val="24"/>
          <w:szCs w:val="24"/>
          <w:lang w:val="en-US"/>
        </w:rPr>
        <w:t>2</w:t>
      </w:r>
      <w:r w:rsidRPr="00B61383">
        <w:rPr>
          <w:rFonts w:ascii="Times New Roman" w:hAnsi="Times New Roman" w:cs="Times New Roman"/>
          <w:sz w:val="24"/>
          <w:szCs w:val="24"/>
          <w:lang w:val="en-US"/>
        </w:rPr>
        <w:t>(1), 47-74.</w:t>
      </w:r>
    </w:p>
    <w:p w14:paraId="7D62CB41"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Geisinger, K. F. (2001). Review of the Wonderlic Personnel Test and scholastic level exam. </w:t>
      </w:r>
      <w:r w:rsidRPr="00B61383">
        <w:rPr>
          <w:rFonts w:ascii="Times New Roman" w:hAnsi="Times New Roman" w:cs="Times New Roman"/>
          <w:i/>
          <w:iCs/>
          <w:sz w:val="24"/>
          <w:szCs w:val="24"/>
          <w:lang w:val="en-US"/>
        </w:rPr>
        <w:t>The fourteenth mental measurements yearbook</w:t>
      </w:r>
      <w:r w:rsidRPr="00B61383">
        <w:rPr>
          <w:rFonts w:ascii="Times New Roman" w:hAnsi="Times New Roman" w:cs="Times New Roman"/>
          <w:sz w:val="24"/>
          <w:szCs w:val="24"/>
          <w:lang w:val="en-US"/>
        </w:rPr>
        <w:t>, 1360-1363.</w:t>
      </w:r>
    </w:p>
    <w:p w14:paraId="521C667C"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Hicks, K. L., Harrison, T. L., &amp; Engle, R. W. (2015). Wonderlic, working memory capacity, and fluid intelligence. </w:t>
      </w:r>
      <w:r w:rsidRPr="00B61383">
        <w:rPr>
          <w:rFonts w:ascii="Times New Roman" w:hAnsi="Times New Roman" w:cs="Times New Roman"/>
          <w:i/>
          <w:iCs/>
          <w:sz w:val="24"/>
          <w:szCs w:val="24"/>
          <w:lang w:val="en-US"/>
        </w:rPr>
        <w:t>Intelligence</w:t>
      </w:r>
      <w:r w:rsidRPr="00B61383">
        <w:rPr>
          <w:rFonts w:ascii="Times New Roman" w:hAnsi="Times New Roman" w:cs="Times New Roman"/>
          <w:sz w:val="24"/>
          <w:szCs w:val="24"/>
          <w:lang w:val="en-US"/>
        </w:rPr>
        <w:t xml:space="preserve">, </w:t>
      </w:r>
      <w:r w:rsidRPr="00B61383">
        <w:rPr>
          <w:rFonts w:ascii="Times New Roman" w:hAnsi="Times New Roman" w:cs="Times New Roman"/>
          <w:i/>
          <w:iCs/>
          <w:sz w:val="24"/>
          <w:szCs w:val="24"/>
          <w:lang w:val="en-US"/>
        </w:rPr>
        <w:t>50</w:t>
      </w:r>
      <w:r w:rsidRPr="00B61383">
        <w:rPr>
          <w:rFonts w:ascii="Times New Roman" w:hAnsi="Times New Roman" w:cs="Times New Roman"/>
          <w:sz w:val="24"/>
          <w:szCs w:val="24"/>
          <w:lang w:val="en-US"/>
        </w:rPr>
        <w:t>, 186-195.</w:t>
      </w:r>
    </w:p>
    <w:p w14:paraId="26949637"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Hunter, J. E. (1983). The Dimensionality of the General Aptitude Test Battery (GATB) and the Dominance of General Factors over Specific Factors in the Prediction of Job Performance for the US Employment Service.</w:t>
      </w:r>
    </w:p>
    <w:p w14:paraId="2D53766D"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Knapp, P. R., &amp; Mujtaba, B. G. (2010). Designing, administering, and utilizing an employee attitude survey. </w:t>
      </w:r>
      <w:r w:rsidRPr="00B61383">
        <w:rPr>
          <w:rFonts w:ascii="Times New Roman" w:hAnsi="Times New Roman" w:cs="Times New Roman"/>
          <w:i/>
          <w:iCs/>
          <w:sz w:val="24"/>
          <w:szCs w:val="24"/>
          <w:lang w:val="en-US"/>
        </w:rPr>
        <w:t>Journal of Behavioral Studies in Business</w:t>
      </w:r>
      <w:r w:rsidRPr="00B61383">
        <w:rPr>
          <w:rFonts w:ascii="Times New Roman" w:hAnsi="Times New Roman" w:cs="Times New Roman"/>
          <w:sz w:val="24"/>
          <w:szCs w:val="24"/>
          <w:lang w:val="en-US"/>
        </w:rPr>
        <w:t xml:space="preserve">, </w:t>
      </w:r>
      <w:r w:rsidRPr="00B61383">
        <w:rPr>
          <w:rFonts w:ascii="Times New Roman" w:hAnsi="Times New Roman" w:cs="Times New Roman"/>
          <w:i/>
          <w:iCs/>
          <w:sz w:val="24"/>
          <w:szCs w:val="24"/>
          <w:lang w:val="en-US"/>
        </w:rPr>
        <w:t>2</w:t>
      </w:r>
      <w:r w:rsidRPr="00B61383">
        <w:rPr>
          <w:rFonts w:ascii="Times New Roman" w:hAnsi="Times New Roman" w:cs="Times New Roman"/>
          <w:sz w:val="24"/>
          <w:szCs w:val="24"/>
          <w:lang w:val="en-US"/>
        </w:rPr>
        <w:t>, 1.</w:t>
      </w:r>
    </w:p>
    <w:p w14:paraId="75F30125"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McDaniel, MA, &amp; Banks, G.C. (2010). General Cognitive Ability</w:t>
      </w:r>
      <w:r w:rsidRPr="00FD568F">
        <w:rPr>
          <w:rFonts w:ascii="Times New Roman" w:hAnsi="Times New Roman" w:cs="Times New Roman"/>
          <w:sz w:val="24"/>
          <w:szCs w:val="24"/>
          <w:lang w:val="en-US"/>
        </w:rPr>
        <w:t xml:space="preserve">. </w:t>
      </w:r>
      <w:r w:rsidRPr="00B61383">
        <w:rPr>
          <w:rFonts w:ascii="Times New Roman" w:hAnsi="Times New Roman" w:cs="Times New Roman"/>
          <w:sz w:val="24"/>
          <w:szCs w:val="24"/>
          <w:lang w:val="en-US"/>
        </w:rPr>
        <w:t xml:space="preserve">In Scott, J. C. &amp; Reynolds, D. H. (Eds.). (2010). </w:t>
      </w:r>
      <w:r w:rsidRPr="00B61383">
        <w:rPr>
          <w:rFonts w:ascii="Times New Roman" w:hAnsi="Times New Roman" w:cs="Times New Roman"/>
          <w:i/>
          <w:sz w:val="24"/>
          <w:szCs w:val="24"/>
          <w:lang w:val="en-US"/>
        </w:rPr>
        <w:t>Handbook of workplace assessment.</w:t>
      </w:r>
      <w:r w:rsidRPr="00B61383">
        <w:rPr>
          <w:rFonts w:ascii="Times New Roman" w:hAnsi="Times New Roman" w:cs="Times New Roman"/>
          <w:sz w:val="24"/>
          <w:szCs w:val="24"/>
          <w:lang w:val="en-US"/>
        </w:rPr>
        <w:t xml:space="preserve"> Pp-61 Retrieved from </w:t>
      </w:r>
      <w:hyperlink r:id="rId6" w:history="1">
        <w:r w:rsidRPr="00B61383">
          <w:rPr>
            <w:rStyle w:val="Hyperlink"/>
            <w:rFonts w:ascii="Times New Roman" w:hAnsi="Times New Roman" w:cs="Times New Roman"/>
            <w:sz w:val="24"/>
            <w:szCs w:val="24"/>
            <w:lang w:val="en-US"/>
          </w:rPr>
          <w:t>https://redshelf.com</w:t>
        </w:r>
      </w:hyperlink>
    </w:p>
    <w:p w14:paraId="067FE893"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McKelvie, S. J. (1989). The Wonderlic Personnel Test: Reliability and validity in an academic setting. </w:t>
      </w:r>
      <w:r w:rsidRPr="00B61383">
        <w:rPr>
          <w:rFonts w:ascii="Times New Roman" w:hAnsi="Times New Roman" w:cs="Times New Roman"/>
          <w:i/>
          <w:iCs/>
          <w:sz w:val="24"/>
          <w:szCs w:val="24"/>
          <w:lang w:val="en-US"/>
        </w:rPr>
        <w:t>Psychological Reports</w:t>
      </w:r>
      <w:r w:rsidRPr="00B61383">
        <w:rPr>
          <w:rFonts w:ascii="Times New Roman" w:hAnsi="Times New Roman" w:cs="Times New Roman"/>
          <w:sz w:val="24"/>
          <w:szCs w:val="24"/>
          <w:lang w:val="en-US"/>
        </w:rPr>
        <w:t xml:space="preserve">, </w:t>
      </w:r>
      <w:r w:rsidRPr="00B61383">
        <w:rPr>
          <w:rFonts w:ascii="Times New Roman" w:hAnsi="Times New Roman" w:cs="Times New Roman"/>
          <w:i/>
          <w:iCs/>
          <w:sz w:val="24"/>
          <w:szCs w:val="24"/>
          <w:lang w:val="en-US"/>
        </w:rPr>
        <w:t>65</w:t>
      </w:r>
      <w:r w:rsidRPr="00B61383">
        <w:rPr>
          <w:rFonts w:ascii="Times New Roman" w:hAnsi="Times New Roman" w:cs="Times New Roman"/>
          <w:sz w:val="24"/>
          <w:szCs w:val="24"/>
          <w:lang w:val="en-US"/>
        </w:rPr>
        <w:t>(1), 161-162.</w:t>
      </w:r>
    </w:p>
    <w:p w14:paraId="7409F3E4" w14:textId="77777777" w:rsidR="00EE317A" w:rsidRPr="00B61383" w:rsidRDefault="00EE317A" w:rsidP="00FD568F">
      <w:pPr>
        <w:spacing w:line="480" w:lineRule="auto"/>
        <w:ind w:left="720" w:hanging="720"/>
        <w:rPr>
          <w:rFonts w:ascii="Times New Roman" w:hAnsi="Times New Roman" w:cs="Times New Roman"/>
          <w:sz w:val="24"/>
          <w:szCs w:val="24"/>
          <w:lang w:val="en-US"/>
        </w:rPr>
      </w:pPr>
      <w:r w:rsidRPr="00B61383">
        <w:rPr>
          <w:rFonts w:ascii="Times New Roman" w:hAnsi="Times New Roman" w:cs="Times New Roman"/>
          <w:sz w:val="24"/>
          <w:szCs w:val="24"/>
          <w:lang w:val="en-US"/>
        </w:rPr>
        <w:t xml:space="preserve">Pulakos, E. D. Selection assessment methods: A guide to implementing formal assessments to build a high-quality workforce. 2005. </w:t>
      </w:r>
      <w:r w:rsidRPr="00B61383">
        <w:rPr>
          <w:rFonts w:ascii="Times New Roman" w:hAnsi="Times New Roman" w:cs="Times New Roman"/>
          <w:i/>
          <w:iCs/>
          <w:sz w:val="24"/>
          <w:szCs w:val="24"/>
          <w:lang w:val="en-US"/>
        </w:rPr>
        <w:t>Alexandria, VA: Society for Human Resources Management</w:t>
      </w:r>
      <w:r w:rsidRPr="00B61383">
        <w:rPr>
          <w:rFonts w:ascii="Times New Roman" w:hAnsi="Times New Roman" w:cs="Times New Roman"/>
          <w:sz w:val="24"/>
          <w:szCs w:val="24"/>
          <w:lang w:val="en-US"/>
        </w:rPr>
        <w:t>.</w:t>
      </w:r>
    </w:p>
    <w:p w14:paraId="3CDE5D47" w14:textId="77777777" w:rsidR="00EE317A" w:rsidRPr="00FD568F" w:rsidRDefault="00EE317A" w:rsidP="00FD568F">
      <w:pPr>
        <w:spacing w:line="480" w:lineRule="auto"/>
        <w:ind w:left="720" w:hanging="720"/>
        <w:rPr>
          <w:rFonts w:ascii="Times New Roman" w:hAnsi="Times New Roman" w:cs="Times New Roman"/>
          <w:sz w:val="24"/>
          <w:szCs w:val="24"/>
          <w:lang w:val="en-US"/>
        </w:rPr>
      </w:pPr>
      <w:r w:rsidRPr="00FD568F">
        <w:rPr>
          <w:rFonts w:ascii="Times New Roman" w:hAnsi="Times New Roman" w:cs="Times New Roman"/>
          <w:sz w:val="24"/>
          <w:szCs w:val="24"/>
          <w:lang w:val="en-US"/>
        </w:rPr>
        <w:t xml:space="preserve">Schermer, J. A., &amp; Goffin, R. D. (2021). The structure of an intelligence measure when higher and lower personality scores are compared. </w:t>
      </w:r>
      <w:r w:rsidRPr="00FD568F">
        <w:rPr>
          <w:rFonts w:ascii="Times New Roman" w:hAnsi="Times New Roman" w:cs="Times New Roman"/>
          <w:i/>
          <w:iCs/>
          <w:sz w:val="24"/>
          <w:szCs w:val="24"/>
          <w:lang w:val="en-US"/>
        </w:rPr>
        <w:t>Personality and Individual Differences</w:t>
      </w:r>
      <w:r w:rsidRPr="00FD568F">
        <w:rPr>
          <w:rFonts w:ascii="Times New Roman" w:hAnsi="Times New Roman" w:cs="Times New Roman"/>
          <w:sz w:val="24"/>
          <w:szCs w:val="24"/>
          <w:lang w:val="en-US"/>
        </w:rPr>
        <w:t xml:space="preserve">, </w:t>
      </w:r>
      <w:r w:rsidRPr="00FD568F">
        <w:rPr>
          <w:rFonts w:ascii="Times New Roman" w:hAnsi="Times New Roman" w:cs="Times New Roman"/>
          <w:i/>
          <w:iCs/>
          <w:sz w:val="24"/>
          <w:szCs w:val="24"/>
          <w:lang w:val="en-US"/>
        </w:rPr>
        <w:t>168</w:t>
      </w:r>
      <w:r w:rsidRPr="00FD568F">
        <w:rPr>
          <w:rFonts w:ascii="Times New Roman" w:hAnsi="Times New Roman" w:cs="Times New Roman"/>
          <w:sz w:val="24"/>
          <w:szCs w:val="24"/>
          <w:lang w:val="en-US"/>
        </w:rPr>
        <w:t>, 110402.</w:t>
      </w:r>
    </w:p>
    <w:sectPr w:rsidR="00EE317A" w:rsidRPr="00FD568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9C8A5F" w14:textId="77777777" w:rsidR="00D75DEA" w:rsidRDefault="00D75DEA" w:rsidP="00B61383">
      <w:pPr>
        <w:spacing w:after="0" w:line="240" w:lineRule="auto"/>
      </w:pPr>
      <w:r>
        <w:separator/>
      </w:r>
    </w:p>
  </w:endnote>
  <w:endnote w:type="continuationSeparator" w:id="0">
    <w:p w14:paraId="50F5006F" w14:textId="77777777" w:rsidR="00D75DEA" w:rsidRDefault="00D75DEA" w:rsidP="00B61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3220F" w14:textId="77777777" w:rsidR="00D75DEA" w:rsidRDefault="00D75DEA" w:rsidP="00B61383">
      <w:pPr>
        <w:spacing w:after="0" w:line="240" w:lineRule="auto"/>
      </w:pPr>
      <w:r>
        <w:separator/>
      </w:r>
    </w:p>
  </w:footnote>
  <w:footnote w:type="continuationSeparator" w:id="0">
    <w:p w14:paraId="45C96F3D" w14:textId="77777777" w:rsidR="00D75DEA" w:rsidRDefault="00D75DEA" w:rsidP="00B61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123287563"/>
      <w:docPartObj>
        <w:docPartGallery w:val="Page Numbers (Top of Page)"/>
        <w:docPartUnique/>
      </w:docPartObj>
    </w:sdtPr>
    <w:sdtEndPr>
      <w:rPr>
        <w:noProof/>
      </w:rPr>
    </w:sdtEndPr>
    <w:sdtContent>
      <w:p w14:paraId="223A23DD" w14:textId="752B5F3D" w:rsidR="00B61383" w:rsidRPr="00AB379C" w:rsidRDefault="00B61383" w:rsidP="00B61383">
        <w:pPr>
          <w:pStyle w:val="Header"/>
          <w:jc w:val="right"/>
          <w:rPr>
            <w:rFonts w:ascii="Times New Roman" w:hAnsi="Times New Roman" w:cs="Times New Roman"/>
            <w:sz w:val="24"/>
            <w:szCs w:val="24"/>
          </w:rPr>
        </w:pPr>
        <w:r w:rsidRPr="00AB379C">
          <w:rPr>
            <w:rFonts w:ascii="Times New Roman" w:hAnsi="Times New Roman" w:cs="Times New Roman"/>
            <w:sz w:val="24"/>
            <w:szCs w:val="24"/>
          </w:rPr>
          <w:fldChar w:fldCharType="begin"/>
        </w:r>
        <w:r w:rsidRPr="00AB379C">
          <w:rPr>
            <w:rFonts w:ascii="Times New Roman" w:hAnsi="Times New Roman" w:cs="Times New Roman"/>
            <w:sz w:val="24"/>
            <w:szCs w:val="24"/>
          </w:rPr>
          <w:instrText xml:space="preserve"> PAGE   \* MERGEFORMAT </w:instrText>
        </w:r>
        <w:r w:rsidRPr="00AB379C">
          <w:rPr>
            <w:rFonts w:ascii="Times New Roman" w:hAnsi="Times New Roman" w:cs="Times New Roman"/>
            <w:sz w:val="24"/>
            <w:szCs w:val="24"/>
          </w:rPr>
          <w:fldChar w:fldCharType="separate"/>
        </w:r>
        <w:r w:rsidRPr="00AB379C">
          <w:rPr>
            <w:rFonts w:ascii="Times New Roman" w:hAnsi="Times New Roman" w:cs="Times New Roman"/>
            <w:noProof/>
            <w:sz w:val="24"/>
            <w:szCs w:val="24"/>
          </w:rPr>
          <w:t>2</w:t>
        </w:r>
        <w:r w:rsidRPr="00AB379C">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MLO0sDC1NDczNjNW0lEKTi0uzszPAykwrAUAFowOcSwAAAA="/>
  </w:docVars>
  <w:rsids>
    <w:rsidRoot w:val="00B61383"/>
    <w:rsid w:val="0008099B"/>
    <w:rsid w:val="00164D0A"/>
    <w:rsid w:val="003573D6"/>
    <w:rsid w:val="004A4F70"/>
    <w:rsid w:val="00503CDE"/>
    <w:rsid w:val="00535F46"/>
    <w:rsid w:val="005D09C4"/>
    <w:rsid w:val="006918B1"/>
    <w:rsid w:val="007F330C"/>
    <w:rsid w:val="00AB379C"/>
    <w:rsid w:val="00B22AFB"/>
    <w:rsid w:val="00B61383"/>
    <w:rsid w:val="00CD612D"/>
    <w:rsid w:val="00D75DEA"/>
    <w:rsid w:val="00EE317A"/>
    <w:rsid w:val="00FD568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2CB55"/>
  <w15:chartTrackingRefBased/>
  <w15:docId w15:val="{8170FD5F-5D73-48CF-AC1D-014EDC45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1383"/>
    <w:rPr>
      <w:color w:val="0563C1" w:themeColor="hyperlink"/>
      <w:u w:val="single"/>
    </w:rPr>
  </w:style>
  <w:style w:type="character" w:styleId="UnresolvedMention">
    <w:name w:val="Unresolved Mention"/>
    <w:basedOn w:val="DefaultParagraphFont"/>
    <w:uiPriority w:val="99"/>
    <w:semiHidden/>
    <w:unhideWhenUsed/>
    <w:rsid w:val="00B61383"/>
    <w:rPr>
      <w:color w:val="605E5C"/>
      <w:shd w:val="clear" w:color="auto" w:fill="E1DFDD"/>
    </w:rPr>
  </w:style>
  <w:style w:type="paragraph" w:styleId="Header">
    <w:name w:val="header"/>
    <w:basedOn w:val="Normal"/>
    <w:link w:val="HeaderChar"/>
    <w:uiPriority w:val="99"/>
    <w:unhideWhenUsed/>
    <w:rsid w:val="00B61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383"/>
  </w:style>
  <w:style w:type="paragraph" w:styleId="Footer">
    <w:name w:val="footer"/>
    <w:basedOn w:val="Normal"/>
    <w:link w:val="FooterChar"/>
    <w:uiPriority w:val="99"/>
    <w:unhideWhenUsed/>
    <w:rsid w:val="00B61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11</Pages>
  <Words>2634</Words>
  <Characters>15018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19</cp:revision>
  <dcterms:created xsi:type="dcterms:W3CDTF">2021-08-09T18:23:00Z</dcterms:created>
  <dcterms:modified xsi:type="dcterms:W3CDTF">2021-08-09T19:31:00Z</dcterms:modified>
</cp:coreProperties>
</file>